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FB2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B2A13">
        <w:rPr>
          <w:rFonts w:ascii="Times New Roman CYR" w:hAnsi="Times New Roman CYR" w:cs="Times New Roman CYR"/>
          <w:sz w:val="28"/>
          <w:szCs w:val="28"/>
        </w:rPr>
        <w:t>26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4A68CF">
        <w:rPr>
          <w:rFonts w:ascii="Times New Roman CYR" w:hAnsi="Times New Roman CYR" w:cs="Times New Roman CYR"/>
          <w:sz w:val="28"/>
          <w:szCs w:val="28"/>
        </w:rPr>
        <w:t>2</w:t>
      </w:r>
      <w:r w:rsidR="00A543CB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4A68CF">
        <w:rPr>
          <w:rFonts w:ascii="Times New Roman CYR" w:hAnsi="Times New Roman CYR" w:cs="Times New Roman CYR"/>
        </w:rPr>
        <w:t>2</w:t>
      </w:r>
      <w:r w:rsidR="00FB2A13">
        <w:rPr>
          <w:rFonts w:ascii="Times New Roman CYR" w:hAnsi="Times New Roman CYR" w:cs="Times New Roman CYR"/>
        </w:rPr>
        <w:t>9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FB2A13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>.00 ч</w:t>
      </w:r>
      <w:r w:rsidR="007F184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  <w:bookmarkStart w:id="0" w:name="_GoBack"/>
        <w:bookmarkEnd w:id="0"/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</w:t>
            </w:r>
            <w:r w:rsidR="00FB2A13">
              <w:rPr>
                <w:b/>
                <w:bCs/>
              </w:rPr>
              <w:t>асрочено за 29.10.2019 г., от 17</w:t>
            </w:r>
            <w:r w:rsidRPr="000F026B">
              <w:rPr>
                <w:b/>
                <w:bCs/>
              </w:rPr>
              <w:t>:00 часа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344665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lastRenderedPageBreak/>
              <w:t>Насрочване на втори тур за кмет на община Тетевен.</w:t>
            </w:r>
          </w:p>
        </w:tc>
      </w:tr>
    </w:tbl>
    <w:p w:rsidR="00250D8A" w:rsidRDefault="00250D8A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t xml:space="preserve">Председателят подложи на гласуване така обявения проект на дневен ред. </w:t>
      </w:r>
    </w:p>
    <w:p w:rsidR="00AE7781" w:rsidRPr="00490662" w:rsidRDefault="00957714" w:rsidP="00490662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proofErr w:type="gramStart"/>
      <w:r w:rsidRPr="00490662">
        <w:rPr>
          <w:lang w:val="en-US"/>
        </w:rPr>
        <w:t>8</w:t>
      </w:r>
      <w:r w:rsidRPr="00490662">
        <w:t>7, ал.</w:t>
      </w:r>
      <w:proofErr w:type="gramEnd"/>
      <w:r w:rsidRPr="00490662">
        <w:t xml:space="preserve">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5B1E3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>Точка първа:</w:t>
      </w:r>
    </w:p>
    <w:p w:rsidR="00250D8A" w:rsidRPr="005B1E36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B2A13" w:rsidRPr="00FB2A13" w:rsidRDefault="00FB2A13" w:rsidP="00FB2A1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B2A13">
        <w:rPr>
          <w:color w:val="333333"/>
        </w:rPr>
        <w:t xml:space="preserve">Във връзка с обявените резултати от изборите за общински </w:t>
      </w:r>
      <w:proofErr w:type="spellStart"/>
      <w:r w:rsidRPr="00FB2A13">
        <w:rPr>
          <w:color w:val="333333"/>
        </w:rPr>
        <w:t>съветници</w:t>
      </w:r>
      <w:proofErr w:type="spellEnd"/>
      <w:r w:rsidRPr="00FB2A13">
        <w:rPr>
          <w:color w:val="333333"/>
        </w:rPr>
        <w:t xml:space="preserve"> и кметове на 27 октомври 2019 г. за община Тетевен ОИК Тетевен следва да приеме решение за насрочване на втори тур за изборите, в които няма избран кандидат на първи тур.</w:t>
      </w:r>
    </w:p>
    <w:p w:rsidR="00FB2A13" w:rsidRPr="00FB2A13" w:rsidRDefault="000670C0" w:rsidP="00FB2A1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B1E36">
        <w:t>Бе предложен проект за решение</w:t>
      </w:r>
      <w:r w:rsidR="00C044C5" w:rsidRPr="005B1E36">
        <w:t>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="00FB2A13">
        <w:rPr>
          <w:lang w:val="en-US"/>
        </w:rPr>
        <w:t xml:space="preserve">а </w:t>
      </w:r>
      <w:proofErr w:type="spellStart"/>
      <w:r w:rsidR="00FB2A13">
        <w:rPr>
          <w:lang w:val="en-US"/>
        </w:rPr>
        <w:t>основание</w:t>
      </w:r>
      <w:proofErr w:type="spellEnd"/>
      <w:r w:rsidR="00FB2A13" w:rsidRPr="00FB2A13">
        <w:rPr>
          <w:color w:val="333333"/>
        </w:rPr>
        <w:t xml:space="preserve"> чл. 87, ал. 1, т. 29 от Изборния кодекс, Общинска избирателна комисия Тетевен</w:t>
      </w:r>
    </w:p>
    <w:p w:rsidR="00FB2A13" w:rsidRPr="00FB2A13" w:rsidRDefault="00FB2A13" w:rsidP="00FB2A13">
      <w:pPr>
        <w:shd w:val="clear" w:color="auto" w:fill="FFFFFF"/>
        <w:spacing w:after="150"/>
        <w:jc w:val="center"/>
        <w:rPr>
          <w:color w:val="333333"/>
        </w:rPr>
      </w:pPr>
      <w:r w:rsidRPr="00FB2A13">
        <w:rPr>
          <w:b/>
          <w:bCs/>
          <w:color w:val="333333"/>
        </w:rPr>
        <w:t>Р Е Ш И :</w:t>
      </w:r>
    </w:p>
    <w:p w:rsidR="00FB2A13" w:rsidRPr="00FB2A13" w:rsidRDefault="00FB2A13" w:rsidP="00FB2A13">
      <w:pPr>
        <w:shd w:val="clear" w:color="auto" w:fill="FFFFFF"/>
        <w:spacing w:after="150"/>
        <w:jc w:val="both"/>
        <w:rPr>
          <w:color w:val="333333"/>
        </w:rPr>
      </w:pPr>
      <w:r w:rsidRPr="00FB2A13">
        <w:rPr>
          <w:color w:val="333333"/>
        </w:rPr>
        <w:t>НАСРОЧВА ВТОРИ ТУР в изборите за кмет на община Тетевен, кмет на кметство Български извор,  кмет на кметство Градежница и кмет на кметство Гложене на 03 ноември 2019 г.</w:t>
      </w:r>
    </w:p>
    <w:p w:rsidR="00FB2A13" w:rsidRPr="00FB2A13" w:rsidRDefault="00FB2A13" w:rsidP="00FB2A13">
      <w:pPr>
        <w:shd w:val="clear" w:color="auto" w:fill="FFFFFF"/>
        <w:spacing w:after="150"/>
        <w:rPr>
          <w:color w:val="333333"/>
        </w:rPr>
      </w:pPr>
      <w:r w:rsidRPr="00FB2A13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91E65" w:rsidRDefault="00991E65" w:rsidP="00991E65"/>
    <w:p w:rsidR="00957714" w:rsidRPr="00490662" w:rsidRDefault="00957714" w:rsidP="00495C06">
      <w:pPr>
        <w:widowControl w:val="0"/>
        <w:autoSpaceDE w:val="0"/>
        <w:autoSpaceDN w:val="0"/>
        <w:adjustRightInd w:val="0"/>
        <w:jc w:val="both"/>
      </w:pPr>
      <w:r w:rsidRPr="00490662">
        <w:t>След изчерпване на дневния</w:t>
      </w:r>
      <w:r w:rsidR="005C55CD" w:rsidRPr="00490662">
        <w:t xml:space="preserve"> ред </w:t>
      </w:r>
      <w:r w:rsidR="00FB2A13">
        <w:t>заседанието бе закрито в 17:1</w:t>
      </w:r>
      <w:r w:rsidR="0025669C">
        <w:t>0</w:t>
      </w:r>
      <w:r w:rsidRPr="00490662">
        <w:t xml:space="preserve"> часа.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jc w:val="both"/>
      </w:pPr>
      <w:r w:rsidRPr="00490662">
        <w:tab/>
      </w:r>
    </w:p>
    <w:p w:rsidR="00957714" w:rsidRPr="00911D35" w:rsidRDefault="00957714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60700" w:rsidRPr="00911D35" w:rsidRDefault="00F60700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p w:rsidR="007F32D3" w:rsidRPr="00B15199" w:rsidRDefault="007F32D3"/>
    <w:sectPr w:rsidR="007F32D3" w:rsidRPr="00B15199" w:rsidSect="00490662">
      <w:foot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CE" w:rsidRDefault="00AE7ECE">
      <w:r>
        <w:separator/>
      </w:r>
    </w:p>
  </w:endnote>
  <w:endnote w:type="continuationSeparator" w:id="0">
    <w:p w:rsidR="00AE7ECE" w:rsidRDefault="00AE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843">
      <w:rPr>
        <w:noProof/>
      </w:rPr>
      <w:t>1</w:t>
    </w:r>
    <w:r>
      <w:fldChar w:fldCharType="end"/>
    </w:r>
  </w:p>
  <w:p w:rsidR="00B15139" w:rsidRDefault="00AE7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CE" w:rsidRDefault="00AE7ECE">
      <w:r>
        <w:separator/>
      </w:r>
    </w:p>
  </w:footnote>
  <w:footnote w:type="continuationSeparator" w:id="0">
    <w:p w:rsidR="00AE7ECE" w:rsidRDefault="00AE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C27"/>
    <w:multiLevelType w:val="multilevel"/>
    <w:tmpl w:val="0A3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010B7"/>
    <w:multiLevelType w:val="hybridMultilevel"/>
    <w:tmpl w:val="0F8A8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D4562"/>
    <w:multiLevelType w:val="hybridMultilevel"/>
    <w:tmpl w:val="0EC61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670C0"/>
    <w:rsid w:val="0007496B"/>
    <w:rsid w:val="000856E6"/>
    <w:rsid w:val="00142735"/>
    <w:rsid w:val="00184076"/>
    <w:rsid w:val="001A5059"/>
    <w:rsid w:val="001B5427"/>
    <w:rsid w:val="001C2AC4"/>
    <w:rsid w:val="001E7E03"/>
    <w:rsid w:val="00250D8A"/>
    <w:rsid w:val="0025669C"/>
    <w:rsid w:val="00285E6F"/>
    <w:rsid w:val="002B12E1"/>
    <w:rsid w:val="00363A3C"/>
    <w:rsid w:val="00365D08"/>
    <w:rsid w:val="00367FCF"/>
    <w:rsid w:val="003B6546"/>
    <w:rsid w:val="0042528A"/>
    <w:rsid w:val="004253B0"/>
    <w:rsid w:val="004463F2"/>
    <w:rsid w:val="004735E7"/>
    <w:rsid w:val="00473EE9"/>
    <w:rsid w:val="004868E2"/>
    <w:rsid w:val="00490662"/>
    <w:rsid w:val="00495C06"/>
    <w:rsid w:val="004A68CF"/>
    <w:rsid w:val="004B4441"/>
    <w:rsid w:val="004C1E4F"/>
    <w:rsid w:val="004E674C"/>
    <w:rsid w:val="005132C7"/>
    <w:rsid w:val="00514109"/>
    <w:rsid w:val="0052037E"/>
    <w:rsid w:val="0054234D"/>
    <w:rsid w:val="00574E9A"/>
    <w:rsid w:val="005B1E36"/>
    <w:rsid w:val="005C55CD"/>
    <w:rsid w:val="005D22BA"/>
    <w:rsid w:val="005D2B1D"/>
    <w:rsid w:val="005D5806"/>
    <w:rsid w:val="005E6D2A"/>
    <w:rsid w:val="00605FF5"/>
    <w:rsid w:val="00612C2D"/>
    <w:rsid w:val="00641A85"/>
    <w:rsid w:val="00647C29"/>
    <w:rsid w:val="00670200"/>
    <w:rsid w:val="00711368"/>
    <w:rsid w:val="00756555"/>
    <w:rsid w:val="00776077"/>
    <w:rsid w:val="007A420F"/>
    <w:rsid w:val="007C0D05"/>
    <w:rsid w:val="007E59F5"/>
    <w:rsid w:val="007F1843"/>
    <w:rsid w:val="007F32D3"/>
    <w:rsid w:val="00864EC7"/>
    <w:rsid w:val="008969D4"/>
    <w:rsid w:val="008C0DFB"/>
    <w:rsid w:val="008C278F"/>
    <w:rsid w:val="008C65E3"/>
    <w:rsid w:val="008D0818"/>
    <w:rsid w:val="008F52F2"/>
    <w:rsid w:val="00907335"/>
    <w:rsid w:val="00911D35"/>
    <w:rsid w:val="009126E1"/>
    <w:rsid w:val="009274C4"/>
    <w:rsid w:val="00934CC3"/>
    <w:rsid w:val="00957714"/>
    <w:rsid w:val="00974AD0"/>
    <w:rsid w:val="00991E65"/>
    <w:rsid w:val="009A4661"/>
    <w:rsid w:val="00A04E9E"/>
    <w:rsid w:val="00A20A71"/>
    <w:rsid w:val="00A543CB"/>
    <w:rsid w:val="00A82397"/>
    <w:rsid w:val="00AE22DA"/>
    <w:rsid w:val="00AE7781"/>
    <w:rsid w:val="00AE7ECE"/>
    <w:rsid w:val="00B15199"/>
    <w:rsid w:val="00BB298F"/>
    <w:rsid w:val="00BF1EEA"/>
    <w:rsid w:val="00C044C5"/>
    <w:rsid w:val="00C4266F"/>
    <w:rsid w:val="00C63944"/>
    <w:rsid w:val="00C6666D"/>
    <w:rsid w:val="00C756F1"/>
    <w:rsid w:val="00C96C22"/>
    <w:rsid w:val="00D417DD"/>
    <w:rsid w:val="00D762B1"/>
    <w:rsid w:val="00DA03C7"/>
    <w:rsid w:val="00DA74F0"/>
    <w:rsid w:val="00DB19A0"/>
    <w:rsid w:val="00E13A42"/>
    <w:rsid w:val="00E14508"/>
    <w:rsid w:val="00E57A62"/>
    <w:rsid w:val="00E6085A"/>
    <w:rsid w:val="00E66C4D"/>
    <w:rsid w:val="00E80C2C"/>
    <w:rsid w:val="00EB1C85"/>
    <w:rsid w:val="00EB7D6F"/>
    <w:rsid w:val="00EC6E80"/>
    <w:rsid w:val="00ED0833"/>
    <w:rsid w:val="00F60700"/>
    <w:rsid w:val="00FA79C8"/>
    <w:rsid w:val="00FB2A13"/>
    <w:rsid w:val="00FB39BB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5132C7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2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132C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51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5132C7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2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132C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51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9E19-AF8C-47D6-92F9-C5185CDA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Ivan G. Getov</cp:lastModifiedBy>
  <cp:revision>5</cp:revision>
  <cp:lastPrinted>2019-10-24T11:04:00Z</cp:lastPrinted>
  <dcterms:created xsi:type="dcterms:W3CDTF">2019-10-29T13:23:00Z</dcterms:created>
  <dcterms:modified xsi:type="dcterms:W3CDTF">2019-10-29T15:13:00Z</dcterms:modified>
</cp:coreProperties>
</file>